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7B61" w:rsidRDefault="005626B7" w:rsidP="00304511">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sidRPr="00616CD5">
        <w:rPr>
          <w:rFonts w:ascii="Arial" w:hAnsi="Arial" w:cs="Arial"/>
          <w:b/>
          <w:sz w:val="32"/>
          <w:szCs w:val="32"/>
        </w:rPr>
        <w:t>Problème</w:t>
      </w:r>
      <w:r w:rsidR="00F04228" w:rsidRPr="00616CD5">
        <w:rPr>
          <w:rFonts w:ascii="Arial" w:hAnsi="Arial" w:cs="Arial"/>
          <w:b/>
          <w:sz w:val="32"/>
          <w:szCs w:val="32"/>
        </w:rPr>
        <w:t xml:space="preserve"> 2</w:t>
      </w:r>
      <w:r w:rsidR="00304511">
        <w:rPr>
          <w:rFonts w:ascii="Arial" w:hAnsi="Arial" w:cs="Arial"/>
          <w:b/>
          <w:sz w:val="32"/>
          <w:szCs w:val="32"/>
        </w:rPr>
        <w:t>92</w:t>
      </w:r>
      <w:r w:rsidR="00A65880">
        <w:rPr>
          <w:rFonts w:ascii="Arial" w:hAnsi="Arial" w:cs="Arial"/>
          <w:b/>
          <w:sz w:val="32"/>
          <w:szCs w:val="32"/>
        </w:rPr>
        <w:t xml:space="preserve"> </w:t>
      </w:r>
      <w:r w:rsidR="00616CD5" w:rsidRPr="00616CD5">
        <w:rPr>
          <w:rFonts w:ascii="Arial" w:hAnsi="Arial" w:cs="Arial"/>
          <w:b/>
          <w:sz w:val="32"/>
          <w:szCs w:val="32"/>
        </w:rPr>
        <w:t>–</w:t>
      </w:r>
      <w:r w:rsidR="0011510F">
        <w:rPr>
          <w:rFonts w:ascii="Arial" w:hAnsi="Arial" w:cs="Arial"/>
          <w:b/>
          <w:sz w:val="32"/>
          <w:szCs w:val="32"/>
        </w:rPr>
        <w:t xml:space="preserve"> </w:t>
      </w:r>
      <w:r w:rsidR="00304511">
        <w:rPr>
          <w:rFonts w:ascii="Arial" w:hAnsi="Arial" w:cs="Arial"/>
          <w:b/>
          <w:sz w:val="32"/>
          <w:szCs w:val="32"/>
        </w:rPr>
        <w:t>Une eau pas si accessible…</w:t>
      </w:r>
    </w:p>
    <w:p w:rsidR="00304511" w:rsidRDefault="00304511" w:rsidP="00416455">
      <w:pPr>
        <w:widowControl w:val="0"/>
        <w:spacing w:line="280" w:lineRule="atLeast"/>
        <w:rPr>
          <w:rFonts w:ascii="Arial" w:hAnsi="Arial" w:cs="Arial"/>
          <w:b/>
          <w:bCs/>
          <w:color w:val="000000"/>
        </w:rPr>
      </w:pPr>
    </w:p>
    <w:p w:rsidR="00416455" w:rsidRDefault="00416455" w:rsidP="00416455">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7142DA">
        <w:rPr>
          <w:rFonts w:ascii="Arial" w:hAnsi="Arial" w:cs="Arial"/>
          <w:b/>
          <w:bCs/>
          <w:color w:val="000000"/>
        </w:rPr>
        <w:t>Seconde</w:t>
      </w:r>
      <w:r w:rsidR="00547BB3">
        <w:rPr>
          <w:rFonts w:ascii="Arial" w:hAnsi="Arial" w:cs="Arial"/>
          <w:b/>
          <w:bCs/>
          <w:color w:val="000000"/>
        </w:rPr>
        <w:t xml:space="preserve"> (éventuellement accessible en Troisième)</w:t>
      </w:r>
    </w:p>
    <w:p w:rsidR="00416455" w:rsidRDefault="00416455" w:rsidP="00B82EAA">
      <w:pPr>
        <w:widowControl w:val="0"/>
        <w:spacing w:line="280" w:lineRule="atLeast"/>
        <w:rPr>
          <w:rFonts w:ascii="Arial" w:hAnsi="Arial" w:cs="Arial"/>
          <w:b/>
          <w:bCs/>
          <w:color w:val="000000"/>
        </w:rPr>
      </w:pPr>
      <w:r>
        <w:rPr>
          <w:rFonts w:ascii="Arial" w:hAnsi="Arial" w:cs="Arial"/>
          <w:b/>
          <w:bCs/>
          <w:color w:val="000000"/>
        </w:rPr>
        <w:t xml:space="preserve">Chapitres : </w:t>
      </w:r>
      <w:r w:rsidR="0018127E">
        <w:rPr>
          <w:rFonts w:ascii="Arial" w:hAnsi="Arial" w:cs="Arial"/>
          <w:b/>
          <w:bCs/>
          <w:color w:val="000000"/>
        </w:rPr>
        <w:t>Proportions, pourcentages</w:t>
      </w:r>
    </w:p>
    <w:p w:rsidR="00CC0DC9" w:rsidRDefault="00CC40AC" w:rsidP="00F342CD">
      <w:pPr>
        <w:widowControl w:val="0"/>
        <w:spacing w:line="280" w:lineRule="atLeast"/>
        <w:rPr>
          <w:rFonts w:ascii="Arial" w:hAnsi="Arial" w:cs="Arial"/>
          <w:b/>
          <w:bCs/>
          <w:color w:val="000000"/>
        </w:rPr>
      </w:pPr>
      <w:r>
        <w:rPr>
          <w:rFonts w:ascii="Arial" w:hAnsi="Arial" w:cs="Arial"/>
          <w:b/>
          <w:bCs/>
          <w:color w:val="000000"/>
        </w:rPr>
        <w:t>Inédit, publié le 2</w:t>
      </w:r>
      <w:r w:rsidR="00B82EAA">
        <w:rPr>
          <w:rFonts w:ascii="Arial" w:hAnsi="Arial" w:cs="Arial"/>
          <w:b/>
          <w:bCs/>
          <w:color w:val="000000"/>
        </w:rPr>
        <w:t>3</w:t>
      </w:r>
      <w:r>
        <w:rPr>
          <w:rFonts w:ascii="Arial" w:hAnsi="Arial" w:cs="Arial"/>
          <w:b/>
          <w:bCs/>
          <w:color w:val="000000"/>
        </w:rPr>
        <w:t>/0</w:t>
      </w:r>
      <w:r w:rsidR="00B82EAA">
        <w:rPr>
          <w:rFonts w:ascii="Arial" w:hAnsi="Arial" w:cs="Arial"/>
          <w:b/>
          <w:bCs/>
          <w:color w:val="000000"/>
        </w:rPr>
        <w:t>4</w:t>
      </w:r>
      <w:r>
        <w:rPr>
          <w:rFonts w:ascii="Arial" w:hAnsi="Arial" w:cs="Arial"/>
          <w:b/>
          <w:bCs/>
          <w:color w:val="000000"/>
        </w:rPr>
        <w:t>/2022</w:t>
      </w:r>
    </w:p>
    <w:p w:rsidR="00183AC2" w:rsidRDefault="00183AC2" w:rsidP="00F342CD">
      <w:pPr>
        <w:widowControl w:val="0"/>
        <w:spacing w:line="280" w:lineRule="atLeast"/>
        <w:rPr>
          <w:rFonts w:ascii="Arial" w:hAnsi="Arial" w:cs="Arial"/>
          <w:b/>
          <w:bCs/>
          <w:color w:val="000000"/>
        </w:rPr>
      </w:pPr>
    </w:p>
    <w:p w:rsidR="004E72B0" w:rsidRPr="004E72B0" w:rsidRDefault="004E72B0" w:rsidP="004E72B0">
      <w:pPr>
        <w:jc w:val="center"/>
      </w:pPr>
      <w:r w:rsidRPr="004E72B0">
        <w:fldChar w:fldCharType="begin"/>
      </w:r>
      <w:r w:rsidRPr="004E72B0">
        <w:instrText xml:space="preserve"> INCLUDEPICTURE "/var/folders/kp/k0n2llc10mgffx5pysm1pzqh0000gn/T/com.microsoft.Word/WebArchiveCopyPasteTempFiles/img-shutterstock_246601228.jpg" \* MERGEFORMATINET </w:instrText>
      </w:r>
      <w:r w:rsidRPr="004E72B0">
        <w:fldChar w:fldCharType="separate"/>
      </w:r>
      <w:r w:rsidRPr="004E72B0">
        <w:rPr>
          <w:noProof/>
        </w:rPr>
        <w:drawing>
          <wp:inline distT="0" distB="0" distL="0" distR="0">
            <wp:extent cx="5886750" cy="3896436"/>
            <wp:effectExtent l="0" t="0" r="6350" b="2540"/>
            <wp:docPr id="1" name="Image 1" descr="L'eau potable en Afrique : une abondance de projets ! | Morgan Phil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u potable en Afrique : une abondance de projets ! | Morgan Philip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3188" cy="3900698"/>
                    </a:xfrm>
                    <a:prstGeom prst="rect">
                      <a:avLst/>
                    </a:prstGeom>
                    <a:noFill/>
                    <a:ln>
                      <a:noFill/>
                    </a:ln>
                  </pic:spPr>
                </pic:pic>
              </a:graphicData>
            </a:graphic>
          </wp:inline>
        </w:drawing>
      </w:r>
      <w:r w:rsidRPr="004E72B0">
        <w:fldChar w:fldCharType="end"/>
      </w:r>
    </w:p>
    <w:p w:rsidR="004E72B0" w:rsidRDefault="004E72B0" w:rsidP="00B82EAA">
      <w:pPr>
        <w:jc w:val="both"/>
        <w:rPr>
          <w:rFonts w:ascii="Arial" w:hAnsi="Arial" w:cs="Arial"/>
          <w:b/>
          <w:bCs/>
          <w:color w:val="000000"/>
        </w:rPr>
      </w:pPr>
    </w:p>
    <w:p w:rsidR="0042758D" w:rsidRDefault="0042758D" w:rsidP="00B82EAA">
      <w:pPr>
        <w:jc w:val="both"/>
        <w:rPr>
          <w:rFonts w:ascii="Arial" w:hAnsi="Arial" w:cs="Arial"/>
          <w:b/>
          <w:bCs/>
          <w:color w:val="000000"/>
        </w:rPr>
      </w:pPr>
    </w:p>
    <w:p w:rsidR="00B82EAA" w:rsidRDefault="0042758D" w:rsidP="00B82EAA">
      <w:pPr>
        <w:jc w:val="both"/>
        <w:rPr>
          <w:rFonts w:ascii="Arial" w:hAnsi="Arial" w:cs="Arial"/>
        </w:rPr>
      </w:pPr>
      <w:r>
        <w:rPr>
          <w:rFonts w:ascii="Arial" w:hAnsi="Arial" w:cs="Arial"/>
        </w:rPr>
        <w:t>En Europe, i</w:t>
      </w:r>
      <w:r w:rsidR="00B82EAA">
        <w:rPr>
          <w:rFonts w:ascii="Arial" w:hAnsi="Arial" w:cs="Arial"/>
        </w:rPr>
        <w:t>l peut nous sembler naturel d’ouvrir le robinet pour obtenir de l’eau courante</w:t>
      </w:r>
      <w:r>
        <w:rPr>
          <w:rFonts w:ascii="Arial" w:hAnsi="Arial" w:cs="Arial"/>
        </w:rPr>
        <w:t>, parfois pour la boire</w:t>
      </w:r>
      <w:r w:rsidR="00B82EAA">
        <w:rPr>
          <w:rFonts w:ascii="Arial" w:hAnsi="Arial" w:cs="Arial"/>
        </w:rPr>
        <w:t xml:space="preserve">. Pourtant ce geste est encore loin d’être évident pour une partie importante de la population mondiale. Même si la situation s’améliore de jour en jour, un rapport de l’Organisation Mondiale de la Santé (OMS) et </w:t>
      </w:r>
      <w:r w:rsidR="00B66B9C">
        <w:rPr>
          <w:rFonts w:ascii="Arial" w:hAnsi="Arial" w:cs="Arial"/>
        </w:rPr>
        <w:t xml:space="preserve">de </w:t>
      </w:r>
      <w:r w:rsidR="00B82EAA">
        <w:rPr>
          <w:rFonts w:ascii="Arial" w:hAnsi="Arial" w:cs="Arial"/>
        </w:rPr>
        <w:t>l’UNICEF indiquait qu’en 2017, 10% de la population mondiale n’avait toujours pas accès à une eau d’un niveau au moins basique</w:t>
      </w:r>
      <w:r w:rsidR="00B82EAA" w:rsidRPr="00B82EAA">
        <w:rPr>
          <w:rFonts w:ascii="Arial" w:hAnsi="Arial" w:cs="Arial"/>
          <w:vertAlign w:val="superscript"/>
        </w:rPr>
        <w:t>(1)</w:t>
      </w:r>
      <w:r w:rsidR="00B82EAA">
        <w:rPr>
          <w:rFonts w:ascii="Arial" w:hAnsi="Arial" w:cs="Arial"/>
        </w:rPr>
        <w:t xml:space="preserve">. On parle bien de centaines de millions de personnes, majoritairement en Afrique </w:t>
      </w:r>
      <w:r w:rsidR="00E75AA2">
        <w:rPr>
          <w:rFonts w:ascii="Arial" w:hAnsi="Arial" w:cs="Arial"/>
        </w:rPr>
        <w:t>subsaharienne</w:t>
      </w:r>
      <w:r w:rsidR="00B82EAA">
        <w:rPr>
          <w:rFonts w:ascii="Arial" w:hAnsi="Arial" w:cs="Arial"/>
        </w:rPr>
        <w:t>, contraint</w:t>
      </w:r>
      <w:r w:rsidR="004E72B0">
        <w:rPr>
          <w:rFonts w:ascii="Arial" w:hAnsi="Arial" w:cs="Arial"/>
        </w:rPr>
        <w:t>es</w:t>
      </w:r>
      <w:r w:rsidR="00B82EAA">
        <w:rPr>
          <w:rFonts w:ascii="Arial" w:hAnsi="Arial" w:cs="Arial"/>
        </w:rPr>
        <w:t xml:space="preserve"> de se contenter d’eaux d’une qualité insuffisante ou d’aller chercher de l’eau à plus de 30 minutes de leur lieu de vie. Il nous semble important ici, de prendre la mesure du problème et de se rappeler que l’eau n’est pas si facilement accessible.</w:t>
      </w:r>
    </w:p>
    <w:p w:rsidR="00B82EAA" w:rsidRDefault="00B82EAA" w:rsidP="00B82EAA">
      <w:pPr>
        <w:jc w:val="both"/>
        <w:rPr>
          <w:rFonts w:ascii="Arial" w:hAnsi="Arial" w:cs="Arial"/>
        </w:rPr>
      </w:pPr>
    </w:p>
    <w:p w:rsidR="00B82EAA" w:rsidRDefault="00B82EAA" w:rsidP="00B82EAA">
      <w:pPr>
        <w:jc w:val="both"/>
        <w:rPr>
          <w:rFonts w:ascii="Arial" w:hAnsi="Arial" w:cs="Arial"/>
        </w:rPr>
      </w:pPr>
      <w:r>
        <w:rPr>
          <w:rFonts w:ascii="Arial" w:hAnsi="Arial" w:cs="Arial"/>
        </w:rPr>
        <w:t xml:space="preserve">En 2017, l’Afrique </w:t>
      </w:r>
      <w:r w:rsidR="00E75AA2">
        <w:rPr>
          <w:rFonts w:ascii="Arial" w:hAnsi="Arial" w:cs="Arial"/>
        </w:rPr>
        <w:t>subsaharienne</w:t>
      </w:r>
      <w:r>
        <w:rPr>
          <w:rFonts w:ascii="Arial" w:hAnsi="Arial" w:cs="Arial"/>
        </w:rPr>
        <w:t xml:space="preserve"> comptait 1,022 milliard de personnes, contre 645 millions en 2000. En 2017, 40% de cette population était urbaine (31% en 2000), le reste vivant en milieu rural. Les deux tableaux en </w:t>
      </w:r>
      <w:r w:rsidRPr="004E72B0">
        <w:rPr>
          <w:rFonts w:ascii="Arial" w:hAnsi="Arial" w:cs="Arial"/>
          <w:b/>
          <w:bCs/>
        </w:rPr>
        <w:t>Annexe</w:t>
      </w:r>
      <w:r>
        <w:rPr>
          <w:rFonts w:ascii="Arial" w:hAnsi="Arial" w:cs="Arial"/>
        </w:rPr>
        <w:t xml:space="preserve"> permettent de connaître les pourcentages de gens ayant accès </w:t>
      </w:r>
      <w:r w:rsidR="005428B2">
        <w:rPr>
          <w:rFonts w:ascii="Arial" w:hAnsi="Arial" w:cs="Arial"/>
        </w:rPr>
        <w:t xml:space="preserve">à une eau </w:t>
      </w:r>
      <w:r>
        <w:rPr>
          <w:rFonts w:ascii="Arial" w:hAnsi="Arial" w:cs="Arial"/>
        </w:rPr>
        <w:t>d’un niveau au moins basique, en milieu rural ou en milieu urbain, en 2017 et en 2000.</w:t>
      </w:r>
    </w:p>
    <w:p w:rsidR="00B82EAA" w:rsidRPr="00BA1226" w:rsidRDefault="00B82EAA" w:rsidP="00B82EAA">
      <w:pPr>
        <w:jc w:val="both"/>
        <w:rPr>
          <w:rFonts w:ascii="Arial" w:hAnsi="Arial" w:cs="Arial"/>
          <w:i/>
          <w:iCs/>
        </w:rPr>
      </w:pPr>
    </w:p>
    <w:p w:rsidR="00BA1226" w:rsidRPr="00BA1226" w:rsidRDefault="00BA1226" w:rsidP="00B82EAA">
      <w:pPr>
        <w:jc w:val="both"/>
        <w:rPr>
          <w:rFonts w:ascii="Arial" w:hAnsi="Arial" w:cs="Arial"/>
          <w:i/>
          <w:iCs/>
        </w:rPr>
      </w:pPr>
      <w:r w:rsidRPr="00BA1226">
        <w:rPr>
          <w:rFonts w:ascii="Arial" w:hAnsi="Arial" w:cs="Arial"/>
          <w:i/>
          <w:iCs/>
        </w:rPr>
        <w:t>Dans tout le problème, on arrondira les pourcentages obtenus au dixième près.</w:t>
      </w:r>
    </w:p>
    <w:p w:rsidR="00BA1226" w:rsidRDefault="00BA1226" w:rsidP="00B82EAA">
      <w:pPr>
        <w:jc w:val="both"/>
        <w:rPr>
          <w:rFonts w:ascii="Arial" w:hAnsi="Arial" w:cs="Arial"/>
        </w:rPr>
      </w:pPr>
    </w:p>
    <w:p w:rsidR="00B82EAA" w:rsidRDefault="00B82EAA" w:rsidP="00B82EAA">
      <w:pPr>
        <w:jc w:val="both"/>
        <w:rPr>
          <w:rFonts w:ascii="Arial" w:hAnsi="Arial" w:cs="Arial"/>
        </w:rPr>
      </w:pPr>
      <w:r>
        <w:rPr>
          <w:rFonts w:ascii="Arial" w:hAnsi="Arial" w:cs="Arial"/>
        </w:rPr>
        <w:t xml:space="preserve">1) Quel est le pourcentage d’augmentation de population en Afrique </w:t>
      </w:r>
      <w:r w:rsidR="00E75AA2">
        <w:rPr>
          <w:rFonts w:ascii="Arial" w:hAnsi="Arial" w:cs="Arial"/>
        </w:rPr>
        <w:t>subsaharienne</w:t>
      </w:r>
      <w:r>
        <w:rPr>
          <w:rFonts w:ascii="Arial" w:hAnsi="Arial" w:cs="Arial"/>
        </w:rPr>
        <w:t xml:space="preserve"> entre 2000 et 2017 ?</w:t>
      </w:r>
    </w:p>
    <w:p w:rsidR="00B82EAA" w:rsidRDefault="00B82EAA" w:rsidP="00B82EAA">
      <w:pPr>
        <w:jc w:val="both"/>
        <w:rPr>
          <w:rFonts w:ascii="Arial" w:hAnsi="Arial" w:cs="Arial"/>
        </w:rPr>
      </w:pPr>
    </w:p>
    <w:p w:rsidR="00B82EAA" w:rsidRDefault="00B82EAA" w:rsidP="00B82EAA">
      <w:pPr>
        <w:jc w:val="both"/>
        <w:rPr>
          <w:rFonts w:ascii="Arial" w:hAnsi="Arial" w:cs="Arial"/>
        </w:rPr>
      </w:pPr>
      <w:r>
        <w:rPr>
          <w:rFonts w:ascii="Arial" w:hAnsi="Arial" w:cs="Arial"/>
        </w:rPr>
        <w:t>2) Calculer</w:t>
      </w:r>
      <w:r w:rsidR="004E72B0">
        <w:rPr>
          <w:rFonts w:ascii="Arial" w:hAnsi="Arial" w:cs="Arial"/>
        </w:rPr>
        <w:t xml:space="preserve"> en </w:t>
      </w:r>
      <w:r w:rsidR="00A34515">
        <w:rPr>
          <w:rFonts w:ascii="Arial" w:hAnsi="Arial" w:cs="Arial"/>
        </w:rPr>
        <w:t>%</w:t>
      </w:r>
      <w:r>
        <w:rPr>
          <w:rFonts w:ascii="Arial" w:hAnsi="Arial" w:cs="Arial"/>
        </w:rPr>
        <w:t xml:space="preserve">, en 2000 puis en 2017, </w:t>
      </w:r>
      <w:r w:rsidR="004E72B0">
        <w:rPr>
          <w:rFonts w:ascii="Arial" w:hAnsi="Arial" w:cs="Arial"/>
        </w:rPr>
        <w:t>la proportion</w:t>
      </w:r>
      <w:r>
        <w:rPr>
          <w:rFonts w:ascii="Arial" w:hAnsi="Arial" w:cs="Arial"/>
        </w:rPr>
        <w:t xml:space="preserve"> de la population de l’Afrique </w:t>
      </w:r>
      <w:r w:rsidR="00E75AA2">
        <w:rPr>
          <w:rFonts w:ascii="Arial" w:hAnsi="Arial" w:cs="Arial"/>
        </w:rPr>
        <w:t>subsaharienne</w:t>
      </w:r>
      <w:r>
        <w:rPr>
          <w:rFonts w:ascii="Arial" w:hAnsi="Arial" w:cs="Arial"/>
        </w:rPr>
        <w:t xml:space="preserve"> qui a accès à une eau d’un niveau au moins basique.</w:t>
      </w:r>
    </w:p>
    <w:p w:rsidR="00B82EAA" w:rsidRDefault="00B82EAA" w:rsidP="00B82EAA">
      <w:pPr>
        <w:jc w:val="both"/>
        <w:rPr>
          <w:rFonts w:ascii="Arial" w:hAnsi="Arial" w:cs="Arial"/>
        </w:rPr>
      </w:pPr>
    </w:p>
    <w:p w:rsidR="00B82EAA" w:rsidRDefault="00B82EAA" w:rsidP="00B82EAA">
      <w:pPr>
        <w:jc w:val="both"/>
        <w:rPr>
          <w:rFonts w:ascii="Arial" w:hAnsi="Arial" w:cs="Arial"/>
        </w:rPr>
      </w:pPr>
      <w:r>
        <w:rPr>
          <w:rFonts w:ascii="Arial" w:hAnsi="Arial" w:cs="Arial"/>
        </w:rPr>
        <w:lastRenderedPageBreak/>
        <w:t xml:space="preserve">3) </w:t>
      </w:r>
      <w:r w:rsidR="00A34515">
        <w:rPr>
          <w:rFonts w:ascii="Arial" w:hAnsi="Arial" w:cs="Arial"/>
        </w:rPr>
        <w:t>P</w:t>
      </w:r>
      <w:r w:rsidR="00BA1226">
        <w:rPr>
          <w:rFonts w:ascii="Arial" w:hAnsi="Arial" w:cs="Arial"/>
        </w:rPr>
        <w:t>ar</w:t>
      </w:r>
      <w:r>
        <w:rPr>
          <w:rFonts w:ascii="Arial" w:hAnsi="Arial" w:cs="Arial"/>
        </w:rPr>
        <w:t xml:space="preserve"> quel pourcentage </w:t>
      </w:r>
      <w:r w:rsidRPr="00E75AA2">
        <w:rPr>
          <w:rFonts w:ascii="Arial" w:hAnsi="Arial" w:cs="Arial"/>
          <w:b/>
          <w:bCs/>
        </w:rPr>
        <w:t>le nombre de personnes</w:t>
      </w:r>
      <w:r>
        <w:rPr>
          <w:rFonts w:ascii="Arial" w:hAnsi="Arial" w:cs="Arial"/>
        </w:rPr>
        <w:t xml:space="preserve"> ayant accès à de l’eau </w:t>
      </w:r>
      <w:r w:rsidR="00BA1226">
        <w:rPr>
          <w:rFonts w:ascii="Arial" w:hAnsi="Arial" w:cs="Arial"/>
        </w:rPr>
        <w:t xml:space="preserve">d’un niveau au moins </w:t>
      </w:r>
      <w:r>
        <w:rPr>
          <w:rFonts w:ascii="Arial" w:hAnsi="Arial" w:cs="Arial"/>
        </w:rPr>
        <w:t xml:space="preserve">basique </w:t>
      </w:r>
      <w:proofErr w:type="spellStart"/>
      <w:r>
        <w:rPr>
          <w:rFonts w:ascii="Arial" w:hAnsi="Arial" w:cs="Arial"/>
        </w:rPr>
        <w:t>a-t-il</w:t>
      </w:r>
      <w:proofErr w:type="spellEnd"/>
      <w:r>
        <w:rPr>
          <w:rFonts w:ascii="Arial" w:hAnsi="Arial" w:cs="Arial"/>
        </w:rPr>
        <w:t xml:space="preserve"> augmenté dans cette région entre 2000 et 2017 ?</w:t>
      </w:r>
    </w:p>
    <w:p w:rsidR="00B82EAA" w:rsidRDefault="00B82EAA" w:rsidP="00B82EAA">
      <w:pPr>
        <w:jc w:val="both"/>
        <w:rPr>
          <w:rFonts w:ascii="Arial" w:hAnsi="Arial" w:cs="Arial"/>
        </w:rPr>
      </w:pPr>
    </w:p>
    <w:p w:rsidR="00B82EAA" w:rsidRDefault="00B82EAA" w:rsidP="00B82EAA">
      <w:pPr>
        <w:jc w:val="both"/>
        <w:rPr>
          <w:rFonts w:ascii="Arial" w:hAnsi="Arial" w:cs="Arial"/>
        </w:rPr>
      </w:pPr>
      <w:r>
        <w:rPr>
          <w:rFonts w:ascii="Arial" w:hAnsi="Arial" w:cs="Arial"/>
        </w:rPr>
        <w:t>4) a) Justifier</w:t>
      </w:r>
      <w:r w:rsidR="002D5B41">
        <w:rPr>
          <w:rFonts w:ascii="Arial" w:hAnsi="Arial" w:cs="Arial"/>
        </w:rPr>
        <w:t xml:space="preserve">, en effectuant les calculs appropriés, </w:t>
      </w:r>
      <w:r>
        <w:rPr>
          <w:rFonts w:ascii="Arial" w:hAnsi="Arial" w:cs="Arial"/>
        </w:rPr>
        <w:t xml:space="preserve">l’affirmation suivante : « </w:t>
      </w:r>
      <w:r w:rsidR="00461418">
        <w:rPr>
          <w:rFonts w:ascii="Arial" w:hAnsi="Arial" w:cs="Arial"/>
        </w:rPr>
        <w:t>Entre 2000 et 2017,</w:t>
      </w:r>
      <w:r w:rsidR="00BA1226">
        <w:rPr>
          <w:rFonts w:ascii="Arial" w:hAnsi="Arial" w:cs="Arial"/>
        </w:rPr>
        <w:t xml:space="preserve"> </w:t>
      </w:r>
      <w:r w:rsidR="00E75AA2">
        <w:rPr>
          <w:rFonts w:ascii="Arial" w:hAnsi="Arial" w:cs="Arial"/>
        </w:rPr>
        <w:t xml:space="preserve">dans cette région, </w:t>
      </w:r>
      <w:r w:rsidR="004E72B0">
        <w:rPr>
          <w:rFonts w:ascii="Arial" w:hAnsi="Arial" w:cs="Arial"/>
        </w:rPr>
        <w:t>la proportion</w:t>
      </w:r>
      <w:r w:rsidRPr="00B82EAA">
        <w:rPr>
          <w:rFonts w:ascii="Arial" w:hAnsi="Arial" w:cs="Arial"/>
        </w:rPr>
        <w:t xml:space="preserve"> de gens</w:t>
      </w:r>
      <w:r w:rsidR="00BA1226">
        <w:rPr>
          <w:rFonts w:ascii="Arial" w:hAnsi="Arial" w:cs="Arial"/>
        </w:rPr>
        <w:t xml:space="preserve"> en milieu urbain</w:t>
      </w:r>
      <w:r w:rsidRPr="00B82EAA">
        <w:rPr>
          <w:rFonts w:ascii="Arial" w:hAnsi="Arial" w:cs="Arial"/>
        </w:rPr>
        <w:t xml:space="preserve"> n</w:t>
      </w:r>
      <w:r>
        <w:rPr>
          <w:rFonts w:ascii="Arial" w:hAnsi="Arial" w:cs="Arial"/>
        </w:rPr>
        <w:t>’</w:t>
      </w:r>
      <w:r w:rsidRPr="00B82EAA">
        <w:rPr>
          <w:rFonts w:ascii="Arial" w:hAnsi="Arial" w:cs="Arial"/>
        </w:rPr>
        <w:t xml:space="preserve">ayant pas accès à de l'eau </w:t>
      </w:r>
      <w:r w:rsidR="00BA1226">
        <w:rPr>
          <w:rFonts w:ascii="Arial" w:hAnsi="Arial" w:cs="Arial"/>
        </w:rPr>
        <w:t xml:space="preserve">d’un niveau au moins </w:t>
      </w:r>
      <w:r w:rsidRPr="00B82EAA">
        <w:rPr>
          <w:rFonts w:ascii="Arial" w:hAnsi="Arial" w:cs="Arial"/>
        </w:rPr>
        <w:t>basique</w:t>
      </w:r>
      <w:r w:rsidR="00BA1226">
        <w:rPr>
          <w:rFonts w:ascii="Arial" w:hAnsi="Arial" w:cs="Arial"/>
        </w:rPr>
        <w:t xml:space="preserve"> </w:t>
      </w:r>
      <w:r w:rsidRPr="00B82EAA">
        <w:rPr>
          <w:rFonts w:ascii="Arial" w:hAnsi="Arial" w:cs="Arial"/>
        </w:rPr>
        <w:t>a diminué, mai</w:t>
      </w:r>
      <w:r w:rsidR="00E75AA2">
        <w:rPr>
          <w:rFonts w:ascii="Arial" w:hAnsi="Arial" w:cs="Arial"/>
        </w:rPr>
        <w:t xml:space="preserve">s </w:t>
      </w:r>
      <w:r w:rsidRPr="00B82EAA">
        <w:rPr>
          <w:rFonts w:ascii="Arial" w:hAnsi="Arial" w:cs="Arial"/>
        </w:rPr>
        <w:t xml:space="preserve">le nombre de personnes </w:t>
      </w:r>
      <w:r w:rsidR="00BA1226">
        <w:rPr>
          <w:rFonts w:ascii="Arial" w:hAnsi="Arial" w:cs="Arial"/>
        </w:rPr>
        <w:t>dans ce cas</w:t>
      </w:r>
      <w:r w:rsidRPr="00B82EAA">
        <w:rPr>
          <w:rFonts w:ascii="Arial" w:hAnsi="Arial" w:cs="Arial"/>
        </w:rPr>
        <w:t xml:space="preserve"> a augmenté de </w:t>
      </w:r>
      <w:r w:rsidR="00BA1226">
        <w:rPr>
          <w:rFonts w:ascii="Arial" w:hAnsi="Arial" w:cs="Arial"/>
        </w:rPr>
        <w:t xml:space="preserve">presque </w:t>
      </w:r>
      <w:r w:rsidRPr="00B82EAA">
        <w:rPr>
          <w:rFonts w:ascii="Arial" w:hAnsi="Arial" w:cs="Arial"/>
        </w:rPr>
        <w:t>50%</w:t>
      </w:r>
      <w:r>
        <w:rPr>
          <w:rFonts w:ascii="Arial" w:hAnsi="Arial" w:cs="Arial"/>
        </w:rPr>
        <w:t> ».</w:t>
      </w:r>
    </w:p>
    <w:p w:rsidR="00B82EAA" w:rsidRDefault="00B82EAA" w:rsidP="00B82EAA">
      <w:pPr>
        <w:jc w:val="both"/>
        <w:rPr>
          <w:rFonts w:ascii="Arial" w:hAnsi="Arial" w:cs="Arial"/>
        </w:rPr>
      </w:pPr>
    </w:p>
    <w:p w:rsidR="00B82EAA" w:rsidRDefault="00B82EAA" w:rsidP="00461418">
      <w:pPr>
        <w:jc w:val="both"/>
        <w:rPr>
          <w:rFonts w:ascii="Arial" w:hAnsi="Arial" w:cs="Arial"/>
        </w:rPr>
      </w:pPr>
      <w:r>
        <w:rPr>
          <w:rFonts w:ascii="Arial" w:hAnsi="Arial" w:cs="Arial"/>
        </w:rPr>
        <w:t>b) Comment expliquer ce phénomène ?</w:t>
      </w:r>
    </w:p>
    <w:p w:rsidR="00461418" w:rsidRDefault="00461418" w:rsidP="00461418">
      <w:pPr>
        <w:jc w:val="both"/>
        <w:rPr>
          <w:rFonts w:ascii="Arial" w:hAnsi="Arial" w:cs="Arial"/>
        </w:rPr>
      </w:pPr>
    </w:p>
    <w:p w:rsidR="00461418" w:rsidRPr="00461418" w:rsidRDefault="00016A9F" w:rsidP="00461418">
      <w:pPr>
        <w:jc w:val="both"/>
        <w:rPr>
          <w:rFonts w:ascii="Arial" w:hAnsi="Arial" w:cs="Arial"/>
        </w:rPr>
      </w:pPr>
      <w:r>
        <w:rPr>
          <w:rFonts w:ascii="Arial" w:hAnsi="Arial" w:cs="Arial"/>
        </w:rPr>
        <w:t>c)</w:t>
      </w:r>
      <w:r w:rsidR="00461418">
        <w:rPr>
          <w:rFonts w:ascii="Arial" w:hAnsi="Arial" w:cs="Arial"/>
        </w:rPr>
        <w:t xml:space="preserve"> Réécrire une phrase quasi-identique pour le milieu rural, en </w:t>
      </w:r>
      <w:r>
        <w:rPr>
          <w:rFonts w:ascii="Arial" w:hAnsi="Arial" w:cs="Arial"/>
        </w:rPr>
        <w:t>ajustant le pourcentage</w:t>
      </w:r>
      <w:r w:rsidR="00461418">
        <w:rPr>
          <w:rFonts w:ascii="Arial" w:hAnsi="Arial" w:cs="Arial"/>
        </w:rPr>
        <w:t xml:space="preserve"> indiqué</w:t>
      </w:r>
      <w:r>
        <w:rPr>
          <w:rFonts w:ascii="Arial" w:hAnsi="Arial" w:cs="Arial"/>
        </w:rPr>
        <w:t xml:space="preserve"> en fin de phrase</w:t>
      </w:r>
      <w:r w:rsidR="00461418">
        <w:rPr>
          <w:rFonts w:ascii="Arial" w:hAnsi="Arial" w:cs="Arial"/>
        </w:rPr>
        <w:t xml:space="preserve">. </w:t>
      </w:r>
    </w:p>
    <w:p w:rsidR="00183AC2" w:rsidRDefault="00183AC2" w:rsidP="00D000FC">
      <w:pPr>
        <w:jc w:val="both"/>
        <w:rPr>
          <w:rFonts w:ascii="Arial" w:hAnsi="Arial" w:cs="Arial"/>
        </w:rPr>
      </w:pPr>
    </w:p>
    <w:p w:rsidR="00B8456E" w:rsidRDefault="00B8456E" w:rsidP="001F0A06">
      <w:pPr>
        <w:ind w:left="142"/>
        <w:jc w:val="both"/>
        <w:rPr>
          <w:rFonts w:ascii="Arial" w:hAnsi="Arial" w:cs="Arial"/>
        </w:rPr>
      </w:pPr>
    </w:p>
    <w:p w:rsidR="001F0A06" w:rsidRDefault="001F0A06" w:rsidP="001F0A06">
      <w:pPr>
        <w:jc w:val="center"/>
        <w:rPr>
          <w:rFonts w:ascii="Arial" w:hAnsi="Arial" w:cs="Arial"/>
          <w:b/>
          <w:bCs/>
        </w:rPr>
      </w:pPr>
      <w:r w:rsidRPr="001F0A06">
        <w:rPr>
          <w:rFonts w:ascii="Arial" w:hAnsi="Arial" w:cs="Arial"/>
          <w:b/>
          <w:bCs/>
        </w:rPr>
        <w:t>Annexe</w:t>
      </w:r>
    </w:p>
    <w:p w:rsidR="001F0A06" w:rsidRDefault="001F0A06" w:rsidP="001F0A06">
      <w:pPr>
        <w:jc w:val="center"/>
        <w:rPr>
          <w:rFonts w:ascii="Arial" w:hAnsi="Arial" w:cs="Arial"/>
          <w:b/>
          <w:bCs/>
        </w:rPr>
      </w:pPr>
    </w:p>
    <w:p w:rsidR="001F0A06" w:rsidRPr="001F0A06" w:rsidRDefault="001F0A06" w:rsidP="001F0A06">
      <w:pPr>
        <w:jc w:val="center"/>
        <w:rPr>
          <w:rFonts w:ascii="Arial" w:hAnsi="Arial" w:cs="Arial"/>
          <w:b/>
          <w:bCs/>
        </w:rPr>
      </w:pPr>
      <w:r>
        <w:rPr>
          <w:rFonts w:ascii="Arial" w:hAnsi="Arial" w:cs="Arial"/>
          <w:b/>
          <w:bCs/>
        </w:rPr>
        <w:t xml:space="preserve">Accès à de l’eau d’un niveau au moins basique en Afrique </w:t>
      </w:r>
      <w:r w:rsidR="00E75AA2">
        <w:rPr>
          <w:rFonts w:ascii="Arial" w:hAnsi="Arial" w:cs="Arial"/>
          <w:b/>
          <w:bCs/>
        </w:rPr>
        <w:t>subsaharienne</w:t>
      </w:r>
      <w:r>
        <w:rPr>
          <w:rFonts w:ascii="Arial" w:hAnsi="Arial" w:cs="Arial"/>
          <w:b/>
          <w:bCs/>
        </w:rPr>
        <w:br/>
        <w:t>(en % de la population)</w:t>
      </w:r>
    </w:p>
    <w:p w:rsidR="001F0A06" w:rsidRDefault="001F0A06" w:rsidP="001F0A06">
      <w:pPr>
        <w:rPr>
          <w:rFonts w:ascii="Arial" w:hAnsi="Arial" w:cs="Arial"/>
        </w:rPr>
        <w:sectPr w:rsidR="001F0A06" w:rsidSect="001F0A06">
          <w:footerReference w:type="default" r:id="rId9"/>
          <w:type w:val="continuous"/>
          <w:pgSz w:w="11906" w:h="16838"/>
          <w:pgMar w:top="527" w:right="709" w:bottom="426" w:left="709" w:header="0" w:footer="709" w:gutter="0"/>
          <w:cols w:space="720"/>
          <w:formProt w:val="0"/>
          <w:docGrid w:linePitch="100"/>
        </w:sectPr>
      </w:pPr>
    </w:p>
    <w:p w:rsidR="001F0A06" w:rsidRDefault="001F0A06" w:rsidP="001F0A06">
      <w:pPr>
        <w:rPr>
          <w:rFonts w:ascii="Arial" w:hAnsi="Arial" w:cs="Arial"/>
        </w:rPr>
      </w:pPr>
    </w:p>
    <w:p w:rsidR="001F0A06" w:rsidRPr="00FA00C1" w:rsidRDefault="00FA00C1" w:rsidP="00FA00C1">
      <w:pPr>
        <w:jc w:val="center"/>
        <w:rPr>
          <w:rFonts w:ascii="Arial" w:hAnsi="Arial" w:cs="Arial"/>
          <w:i/>
          <w:iCs/>
        </w:rPr>
      </w:pPr>
      <w:r>
        <w:rPr>
          <w:rFonts w:ascii="Arial" w:hAnsi="Arial" w:cs="Arial"/>
          <w:i/>
          <w:iCs/>
        </w:rPr>
        <w:t>En 2000 (</w:t>
      </w:r>
      <w:r w:rsidRPr="00FA00C1">
        <w:rPr>
          <w:rFonts w:ascii="Arial" w:hAnsi="Arial" w:cs="Arial"/>
          <w:i/>
          <w:iCs/>
        </w:rPr>
        <w:t>Population : 645 millions</w:t>
      </w:r>
      <w:r>
        <w:rPr>
          <w:rFonts w:ascii="Arial" w:hAnsi="Arial" w:cs="Arial"/>
          <w:i/>
          <w:iCs/>
        </w:rPr>
        <w:t>)</w:t>
      </w:r>
    </w:p>
    <w:tbl>
      <w:tblPr>
        <w:tblStyle w:val="Grilledutableau"/>
        <w:tblW w:w="4536" w:type="dxa"/>
        <w:tblInd w:w="137" w:type="dxa"/>
        <w:tblLook w:val="04A0" w:firstRow="1" w:lastRow="0" w:firstColumn="1" w:lastColumn="0" w:noHBand="0" w:noVBand="1"/>
      </w:tblPr>
      <w:tblGrid>
        <w:gridCol w:w="2362"/>
        <w:gridCol w:w="1087"/>
        <w:gridCol w:w="1087"/>
      </w:tblGrid>
      <w:tr w:rsidR="001F0A06" w:rsidTr="00FA00C1">
        <w:tc>
          <w:tcPr>
            <w:tcW w:w="2362" w:type="dxa"/>
            <w:shd w:val="clear" w:color="auto" w:fill="548DD4" w:themeFill="text2" w:themeFillTint="99"/>
          </w:tcPr>
          <w:p w:rsidR="001F0A06" w:rsidRDefault="001F0A06" w:rsidP="001F0A06">
            <w:pPr>
              <w:rPr>
                <w:rFonts w:ascii="Arial" w:hAnsi="Arial" w:cs="Arial"/>
                <w:b/>
                <w:bCs/>
                <w:color w:val="FFFFFF" w:themeColor="background1"/>
                <w:sz w:val="22"/>
                <w:szCs w:val="22"/>
              </w:rPr>
            </w:pPr>
          </w:p>
          <w:p w:rsidR="00FA00C1" w:rsidRDefault="00FA00C1" w:rsidP="001F0A06">
            <w:pPr>
              <w:rPr>
                <w:rFonts w:ascii="Arial" w:hAnsi="Arial" w:cs="Arial"/>
                <w:b/>
                <w:bCs/>
                <w:color w:val="FFFFFF" w:themeColor="background1"/>
                <w:sz w:val="22"/>
                <w:szCs w:val="22"/>
              </w:rPr>
            </w:pPr>
          </w:p>
          <w:p w:rsidR="00FA00C1" w:rsidRPr="00FA00C1" w:rsidRDefault="00FA00C1" w:rsidP="001F0A06">
            <w:pPr>
              <w:rPr>
                <w:rFonts w:ascii="Arial" w:hAnsi="Arial" w:cs="Arial"/>
                <w:b/>
                <w:bCs/>
                <w:color w:val="FFFFFF" w:themeColor="background1"/>
                <w:sz w:val="22"/>
                <w:szCs w:val="22"/>
              </w:rPr>
            </w:pPr>
            <w:r>
              <w:rPr>
                <w:rFonts w:ascii="Arial" w:hAnsi="Arial" w:cs="Arial"/>
                <w:b/>
                <w:bCs/>
                <w:color w:val="FFFFFF" w:themeColor="background1"/>
                <w:sz w:val="22"/>
                <w:szCs w:val="22"/>
              </w:rPr>
              <w:t>(% de la population)</w:t>
            </w:r>
          </w:p>
        </w:tc>
        <w:tc>
          <w:tcPr>
            <w:tcW w:w="1087" w:type="dxa"/>
            <w:shd w:val="clear" w:color="auto" w:fill="548DD4" w:themeFill="text2" w:themeFillTint="99"/>
          </w:tcPr>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Milieu urbain</w:t>
            </w:r>
          </w:p>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(31%)</w:t>
            </w:r>
          </w:p>
        </w:tc>
        <w:tc>
          <w:tcPr>
            <w:tcW w:w="1087" w:type="dxa"/>
            <w:shd w:val="clear" w:color="auto" w:fill="548DD4" w:themeFill="text2" w:themeFillTint="99"/>
          </w:tcPr>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 xml:space="preserve">Milieu </w:t>
            </w:r>
            <w:r w:rsidRPr="00FA00C1">
              <w:rPr>
                <w:rFonts w:ascii="Arial" w:hAnsi="Arial" w:cs="Arial"/>
                <w:b/>
                <w:bCs/>
                <w:color w:val="FFFFFF" w:themeColor="background1"/>
                <w:sz w:val="22"/>
                <w:szCs w:val="22"/>
              </w:rPr>
              <w:br/>
              <w:t>rural</w:t>
            </w:r>
            <w:r w:rsidRPr="00FA00C1">
              <w:rPr>
                <w:rFonts w:ascii="Arial" w:hAnsi="Arial" w:cs="Arial"/>
                <w:b/>
                <w:bCs/>
                <w:color w:val="FFFFFF" w:themeColor="background1"/>
                <w:sz w:val="22"/>
                <w:szCs w:val="22"/>
              </w:rPr>
              <w:br/>
              <w:t>(69%)</w:t>
            </w:r>
          </w:p>
        </w:tc>
      </w:tr>
      <w:tr w:rsidR="00FA00C1" w:rsidTr="00FA00C1">
        <w:tc>
          <w:tcPr>
            <w:tcW w:w="2362" w:type="dxa"/>
          </w:tcPr>
          <w:p w:rsidR="001F0A06" w:rsidRPr="00FA00C1" w:rsidRDefault="001F0A06" w:rsidP="001F0A06">
            <w:pPr>
              <w:rPr>
                <w:rFonts w:ascii="Arial" w:hAnsi="Arial" w:cs="Arial"/>
                <w:sz w:val="22"/>
                <w:szCs w:val="22"/>
              </w:rPr>
            </w:pPr>
            <w:r w:rsidRPr="00FA00C1">
              <w:rPr>
                <w:rFonts w:ascii="Arial" w:hAnsi="Arial" w:cs="Arial"/>
                <w:sz w:val="22"/>
                <w:szCs w:val="22"/>
              </w:rPr>
              <w:t xml:space="preserve">Accès </w:t>
            </w:r>
          </w:p>
        </w:tc>
        <w:tc>
          <w:tcPr>
            <w:tcW w:w="108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78%</w:t>
            </w:r>
          </w:p>
        </w:tc>
        <w:tc>
          <w:tcPr>
            <w:tcW w:w="108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31%</w:t>
            </w:r>
          </w:p>
        </w:tc>
      </w:tr>
      <w:tr w:rsidR="00FA00C1" w:rsidTr="00FA00C1">
        <w:tc>
          <w:tcPr>
            <w:tcW w:w="2362" w:type="dxa"/>
          </w:tcPr>
          <w:p w:rsidR="001F0A06" w:rsidRPr="00FA00C1" w:rsidRDefault="001F0A06" w:rsidP="001F0A06">
            <w:pPr>
              <w:rPr>
                <w:rFonts w:ascii="Arial" w:hAnsi="Arial" w:cs="Arial"/>
                <w:sz w:val="22"/>
                <w:szCs w:val="22"/>
              </w:rPr>
            </w:pPr>
            <w:r w:rsidRPr="00FA00C1">
              <w:rPr>
                <w:rFonts w:ascii="Arial" w:hAnsi="Arial" w:cs="Arial"/>
                <w:sz w:val="22"/>
                <w:szCs w:val="22"/>
              </w:rPr>
              <w:t xml:space="preserve">Non-accès </w:t>
            </w:r>
          </w:p>
        </w:tc>
        <w:tc>
          <w:tcPr>
            <w:tcW w:w="108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22%</w:t>
            </w:r>
          </w:p>
        </w:tc>
        <w:tc>
          <w:tcPr>
            <w:tcW w:w="108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69%</w:t>
            </w:r>
          </w:p>
        </w:tc>
      </w:tr>
    </w:tbl>
    <w:p w:rsidR="001F0A06" w:rsidRDefault="001F0A06" w:rsidP="001F0A06">
      <w:pPr>
        <w:rPr>
          <w:rFonts w:ascii="Arial" w:hAnsi="Arial" w:cs="Arial"/>
        </w:rPr>
      </w:pPr>
    </w:p>
    <w:p w:rsidR="001F0A06" w:rsidRDefault="001F0A06" w:rsidP="001F0A06">
      <w:pPr>
        <w:rPr>
          <w:rFonts w:ascii="Arial" w:hAnsi="Arial" w:cs="Arial"/>
        </w:rPr>
      </w:pPr>
    </w:p>
    <w:p w:rsidR="001F0A06" w:rsidRPr="00FA00C1" w:rsidRDefault="00FA00C1" w:rsidP="00FA00C1">
      <w:pPr>
        <w:jc w:val="center"/>
        <w:rPr>
          <w:rFonts w:ascii="Arial" w:hAnsi="Arial" w:cs="Arial"/>
          <w:i/>
          <w:iCs/>
        </w:rPr>
      </w:pPr>
      <w:r>
        <w:rPr>
          <w:rFonts w:ascii="Arial" w:hAnsi="Arial" w:cs="Arial"/>
          <w:i/>
          <w:iCs/>
        </w:rPr>
        <w:t>En 2017</w:t>
      </w:r>
      <w:r w:rsidRPr="00FA00C1">
        <w:rPr>
          <w:rFonts w:ascii="Arial" w:hAnsi="Arial" w:cs="Arial"/>
          <w:i/>
          <w:iCs/>
        </w:rPr>
        <w:t> </w:t>
      </w:r>
      <w:r>
        <w:rPr>
          <w:rFonts w:ascii="Arial" w:hAnsi="Arial" w:cs="Arial"/>
          <w:i/>
          <w:iCs/>
        </w:rPr>
        <w:t xml:space="preserve">(Population : </w:t>
      </w:r>
      <w:r w:rsidRPr="00FA00C1">
        <w:rPr>
          <w:rFonts w:ascii="Arial" w:hAnsi="Arial" w:cs="Arial"/>
          <w:i/>
          <w:iCs/>
        </w:rPr>
        <w:t>1 022 millions</w:t>
      </w:r>
      <w:r>
        <w:rPr>
          <w:rFonts w:ascii="Arial" w:hAnsi="Arial" w:cs="Arial"/>
          <w:i/>
          <w:iCs/>
        </w:rPr>
        <w:t>)</w:t>
      </w:r>
    </w:p>
    <w:tbl>
      <w:tblPr>
        <w:tblStyle w:val="Grilledutableau"/>
        <w:tblW w:w="4390" w:type="dxa"/>
        <w:tblInd w:w="279" w:type="dxa"/>
        <w:tblLook w:val="04A0" w:firstRow="1" w:lastRow="0" w:firstColumn="1" w:lastColumn="0" w:noHBand="0" w:noVBand="1"/>
      </w:tblPr>
      <w:tblGrid>
        <w:gridCol w:w="2377"/>
        <w:gridCol w:w="1006"/>
        <w:gridCol w:w="1007"/>
      </w:tblGrid>
      <w:tr w:rsidR="00FA00C1" w:rsidTr="00FA00C1">
        <w:tc>
          <w:tcPr>
            <w:tcW w:w="2377" w:type="dxa"/>
            <w:shd w:val="clear" w:color="auto" w:fill="548DD4" w:themeFill="text2" w:themeFillTint="99"/>
          </w:tcPr>
          <w:p w:rsidR="001F0A06" w:rsidRDefault="001F0A06" w:rsidP="00FA00C1">
            <w:pPr>
              <w:rPr>
                <w:rFonts w:ascii="Arial" w:hAnsi="Arial" w:cs="Arial"/>
                <w:b/>
                <w:bCs/>
                <w:color w:val="FFFFFF" w:themeColor="background1"/>
                <w:sz w:val="22"/>
                <w:szCs w:val="22"/>
              </w:rPr>
            </w:pPr>
          </w:p>
          <w:p w:rsidR="00FA00C1" w:rsidRDefault="00FA00C1" w:rsidP="00FA00C1">
            <w:pPr>
              <w:rPr>
                <w:rFonts w:ascii="Arial" w:hAnsi="Arial" w:cs="Arial"/>
                <w:b/>
                <w:bCs/>
                <w:color w:val="FFFFFF" w:themeColor="background1"/>
                <w:sz w:val="22"/>
                <w:szCs w:val="22"/>
              </w:rPr>
            </w:pPr>
          </w:p>
          <w:p w:rsidR="00FA00C1" w:rsidRPr="00FA00C1" w:rsidRDefault="00FA00C1" w:rsidP="00FA00C1">
            <w:pPr>
              <w:rPr>
                <w:rFonts w:ascii="Arial" w:hAnsi="Arial" w:cs="Arial"/>
                <w:b/>
                <w:bCs/>
                <w:color w:val="FFFFFF" w:themeColor="background1"/>
                <w:sz w:val="22"/>
                <w:szCs w:val="22"/>
              </w:rPr>
            </w:pPr>
            <w:r>
              <w:rPr>
                <w:rFonts w:ascii="Arial" w:hAnsi="Arial" w:cs="Arial"/>
                <w:b/>
                <w:bCs/>
                <w:color w:val="FFFFFF" w:themeColor="background1"/>
                <w:sz w:val="22"/>
                <w:szCs w:val="22"/>
              </w:rPr>
              <w:t>(% de la population)</w:t>
            </w:r>
          </w:p>
        </w:tc>
        <w:tc>
          <w:tcPr>
            <w:tcW w:w="1006" w:type="dxa"/>
            <w:shd w:val="clear" w:color="auto" w:fill="548DD4" w:themeFill="text2" w:themeFillTint="99"/>
          </w:tcPr>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Milieu urbain</w:t>
            </w:r>
          </w:p>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(40%)</w:t>
            </w:r>
          </w:p>
        </w:tc>
        <w:tc>
          <w:tcPr>
            <w:tcW w:w="1007" w:type="dxa"/>
            <w:shd w:val="clear" w:color="auto" w:fill="548DD4" w:themeFill="text2" w:themeFillTint="99"/>
          </w:tcPr>
          <w:p w:rsidR="001F0A06" w:rsidRPr="00FA00C1" w:rsidRDefault="001F0A06" w:rsidP="001F0A06">
            <w:pPr>
              <w:jc w:val="center"/>
              <w:rPr>
                <w:rFonts w:ascii="Arial" w:hAnsi="Arial" w:cs="Arial"/>
                <w:b/>
                <w:bCs/>
                <w:color w:val="FFFFFF" w:themeColor="background1"/>
                <w:sz w:val="22"/>
                <w:szCs w:val="22"/>
              </w:rPr>
            </w:pPr>
            <w:r w:rsidRPr="00FA00C1">
              <w:rPr>
                <w:rFonts w:ascii="Arial" w:hAnsi="Arial" w:cs="Arial"/>
                <w:b/>
                <w:bCs/>
                <w:color w:val="FFFFFF" w:themeColor="background1"/>
                <w:sz w:val="22"/>
                <w:szCs w:val="22"/>
              </w:rPr>
              <w:t>Milieu</w:t>
            </w:r>
            <w:r w:rsidRPr="00FA00C1">
              <w:rPr>
                <w:rFonts w:ascii="Arial" w:hAnsi="Arial" w:cs="Arial"/>
                <w:b/>
                <w:bCs/>
                <w:color w:val="FFFFFF" w:themeColor="background1"/>
                <w:sz w:val="22"/>
                <w:szCs w:val="22"/>
              </w:rPr>
              <w:br/>
              <w:t xml:space="preserve"> rural (60%)</w:t>
            </w:r>
          </w:p>
        </w:tc>
      </w:tr>
      <w:tr w:rsidR="001F0A06" w:rsidTr="00FA00C1">
        <w:tc>
          <w:tcPr>
            <w:tcW w:w="2377" w:type="dxa"/>
          </w:tcPr>
          <w:p w:rsidR="001F0A06" w:rsidRPr="00FA00C1" w:rsidRDefault="001F0A06" w:rsidP="001F0A06">
            <w:pPr>
              <w:rPr>
                <w:rFonts w:ascii="Arial" w:hAnsi="Arial" w:cs="Arial"/>
                <w:sz w:val="22"/>
                <w:szCs w:val="22"/>
              </w:rPr>
            </w:pPr>
            <w:r w:rsidRPr="00FA00C1">
              <w:rPr>
                <w:rFonts w:ascii="Arial" w:hAnsi="Arial" w:cs="Arial"/>
                <w:sz w:val="22"/>
                <w:szCs w:val="22"/>
              </w:rPr>
              <w:t xml:space="preserve">Accès </w:t>
            </w:r>
          </w:p>
        </w:tc>
        <w:tc>
          <w:tcPr>
            <w:tcW w:w="1006"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84%</w:t>
            </w:r>
          </w:p>
        </w:tc>
        <w:tc>
          <w:tcPr>
            <w:tcW w:w="100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45%</w:t>
            </w:r>
          </w:p>
        </w:tc>
      </w:tr>
      <w:tr w:rsidR="001F0A06" w:rsidTr="00FA00C1">
        <w:tc>
          <w:tcPr>
            <w:tcW w:w="2377" w:type="dxa"/>
          </w:tcPr>
          <w:p w:rsidR="001F0A06" w:rsidRPr="00FA00C1" w:rsidRDefault="001F0A06" w:rsidP="001F0A06">
            <w:pPr>
              <w:rPr>
                <w:rFonts w:ascii="Arial" w:hAnsi="Arial" w:cs="Arial"/>
                <w:sz w:val="22"/>
                <w:szCs w:val="22"/>
              </w:rPr>
            </w:pPr>
            <w:r w:rsidRPr="00FA00C1">
              <w:rPr>
                <w:rFonts w:ascii="Arial" w:hAnsi="Arial" w:cs="Arial"/>
                <w:sz w:val="22"/>
                <w:szCs w:val="22"/>
              </w:rPr>
              <w:t>Non-accès</w:t>
            </w:r>
          </w:p>
        </w:tc>
        <w:tc>
          <w:tcPr>
            <w:tcW w:w="1006"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16%</w:t>
            </w:r>
          </w:p>
        </w:tc>
        <w:tc>
          <w:tcPr>
            <w:tcW w:w="1007" w:type="dxa"/>
            <w:vAlign w:val="center"/>
          </w:tcPr>
          <w:p w:rsidR="001F0A06" w:rsidRPr="00FA00C1" w:rsidRDefault="001F0A06" w:rsidP="001F0A06">
            <w:pPr>
              <w:jc w:val="center"/>
              <w:rPr>
                <w:rFonts w:ascii="Arial" w:hAnsi="Arial" w:cs="Arial"/>
                <w:sz w:val="22"/>
                <w:szCs w:val="22"/>
              </w:rPr>
            </w:pPr>
            <w:r w:rsidRPr="00FA00C1">
              <w:rPr>
                <w:rFonts w:ascii="Arial" w:hAnsi="Arial" w:cs="Arial"/>
                <w:sz w:val="22"/>
                <w:szCs w:val="22"/>
              </w:rPr>
              <w:t>55%</w:t>
            </w:r>
          </w:p>
        </w:tc>
      </w:tr>
    </w:tbl>
    <w:p w:rsidR="001F0A06" w:rsidRDefault="001F0A06" w:rsidP="001F0A06">
      <w:pPr>
        <w:rPr>
          <w:rFonts w:ascii="Arial" w:hAnsi="Arial" w:cs="Arial"/>
        </w:rPr>
      </w:pPr>
    </w:p>
    <w:p w:rsidR="001F0A06" w:rsidRDefault="001F0A06" w:rsidP="006C6CBA">
      <w:pPr>
        <w:jc w:val="both"/>
        <w:rPr>
          <w:rFonts w:ascii="Arial" w:hAnsi="Arial" w:cs="Arial"/>
        </w:rPr>
        <w:sectPr w:rsidR="001F0A06" w:rsidSect="001F0A06">
          <w:type w:val="continuous"/>
          <w:pgSz w:w="11906" w:h="16838"/>
          <w:pgMar w:top="527" w:right="709" w:bottom="426" w:left="709" w:header="0" w:footer="709" w:gutter="0"/>
          <w:cols w:num="2" w:space="426"/>
          <w:formProt w:val="0"/>
          <w:docGrid w:linePitch="100"/>
        </w:sectPr>
      </w:pPr>
    </w:p>
    <w:p w:rsidR="006C6CBA" w:rsidRDefault="006C6CBA" w:rsidP="006C6CBA">
      <w:pPr>
        <w:jc w:val="both"/>
        <w:rPr>
          <w:rFonts w:ascii="Arial" w:hAnsi="Arial" w:cs="Arial"/>
          <w:i/>
          <w:iCs/>
        </w:rPr>
      </w:pPr>
    </w:p>
    <w:p w:rsidR="005428B2" w:rsidRPr="00B66B9C" w:rsidRDefault="005428B2" w:rsidP="006C6CBA">
      <w:pPr>
        <w:jc w:val="both"/>
        <w:rPr>
          <w:rFonts w:ascii="Arial" w:hAnsi="Arial" w:cs="Arial"/>
          <w:i/>
          <w:iCs/>
        </w:rPr>
      </w:pPr>
    </w:p>
    <w:p w:rsidR="00B66B9C" w:rsidRPr="00B66B9C" w:rsidRDefault="00B66B9C" w:rsidP="00B66B9C">
      <w:pPr>
        <w:rPr>
          <w:rFonts w:ascii="Arial" w:hAnsi="Arial" w:cs="Arial"/>
          <w:i/>
          <w:iCs/>
          <w:sz w:val="16"/>
          <w:szCs w:val="16"/>
        </w:rPr>
      </w:pPr>
      <w:r w:rsidRPr="00B66B9C">
        <w:rPr>
          <w:rFonts w:ascii="Arial" w:hAnsi="Arial" w:cs="Arial"/>
          <w:i/>
          <w:iCs/>
          <w:sz w:val="16"/>
          <w:szCs w:val="16"/>
        </w:rPr>
        <w:t xml:space="preserve">(1) Source : </w:t>
      </w:r>
      <w:hyperlink r:id="rId10" w:history="1">
        <w:r w:rsidRPr="00B66B9C">
          <w:rPr>
            <w:rStyle w:val="Lienhypertexte"/>
            <w:rFonts w:ascii="Arial" w:hAnsi="Arial" w:cs="Arial"/>
            <w:i/>
            <w:iCs/>
            <w:sz w:val="16"/>
            <w:szCs w:val="16"/>
          </w:rPr>
          <w:t>https://www.unicef.org/media/55276/file/Progress%20on%20drinking%20water,%20sanitation%20and%20hygiene%202019%20.pdf</w:t>
        </w:r>
      </w:hyperlink>
      <w:r w:rsidRPr="00B66B9C">
        <w:rPr>
          <w:rFonts w:ascii="Arial" w:hAnsi="Arial" w:cs="Arial"/>
          <w:i/>
          <w:iCs/>
          <w:sz w:val="16"/>
          <w:szCs w:val="16"/>
        </w:rPr>
        <w:t xml:space="preserve"> </w:t>
      </w:r>
    </w:p>
    <w:p w:rsidR="00B66B9C" w:rsidRPr="00B66B9C" w:rsidRDefault="00B66B9C" w:rsidP="00B66B9C">
      <w:pPr>
        <w:rPr>
          <w:rFonts w:ascii="Arial" w:hAnsi="Arial" w:cs="Arial"/>
          <w:sz w:val="16"/>
          <w:szCs w:val="16"/>
        </w:rPr>
      </w:pPr>
    </w:p>
    <w:p w:rsidR="006C6CBA" w:rsidRDefault="006C6CBA" w:rsidP="006C6CBA">
      <w:pPr>
        <w:jc w:val="both"/>
        <w:rPr>
          <w:rFonts w:ascii="Arial" w:hAnsi="Arial" w:cs="Arial"/>
        </w:rPr>
      </w:pPr>
    </w:p>
    <w:p w:rsidR="00694D1C" w:rsidRDefault="00694D1C" w:rsidP="00F82158">
      <w:pPr>
        <w:jc w:val="both"/>
        <w:rPr>
          <w:rFonts w:ascii="Arial" w:hAnsi="Arial" w:cs="Arial"/>
        </w:rPr>
      </w:pPr>
    </w:p>
    <w:p w:rsidR="00F82158" w:rsidRDefault="00F82158" w:rsidP="00F82158">
      <w:pPr>
        <w:jc w:val="both"/>
        <w:rPr>
          <w:rFonts w:ascii="Arial" w:hAnsi="Arial" w:cs="Arial"/>
        </w:rPr>
      </w:pPr>
    </w:p>
    <w:p w:rsidR="006470D9" w:rsidRPr="006332B9" w:rsidRDefault="006470D9" w:rsidP="002D3230">
      <w:pPr>
        <w:jc w:val="both"/>
        <w:rPr>
          <w:rFonts w:ascii="Arial" w:hAnsi="Arial" w:cs="Arial"/>
        </w:rPr>
      </w:pPr>
    </w:p>
    <w:sectPr w:rsidR="006470D9" w:rsidRPr="006332B9" w:rsidSect="000023B9">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6AEA" w:rsidRDefault="00DF6AEA">
      <w:r>
        <w:separator/>
      </w:r>
    </w:p>
  </w:endnote>
  <w:endnote w:type="continuationSeparator" w:id="0">
    <w:p w:rsidR="00DF6AEA" w:rsidRDefault="00DF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6AEA" w:rsidRDefault="00DF6AEA">
      <w:r>
        <w:separator/>
      </w:r>
    </w:p>
  </w:footnote>
  <w:footnote w:type="continuationSeparator" w:id="0">
    <w:p w:rsidR="00DF6AEA" w:rsidRDefault="00DF6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6A9F"/>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CA"/>
    <w:rsid w:val="00033EC1"/>
    <w:rsid w:val="00035343"/>
    <w:rsid w:val="00035F5F"/>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B17"/>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D72"/>
    <w:rsid w:val="000972C4"/>
    <w:rsid w:val="000A01CC"/>
    <w:rsid w:val="000A1429"/>
    <w:rsid w:val="000A29F8"/>
    <w:rsid w:val="000A2BB3"/>
    <w:rsid w:val="000A2C6A"/>
    <w:rsid w:val="000A311D"/>
    <w:rsid w:val="000A3CE5"/>
    <w:rsid w:val="000A503B"/>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FAD"/>
    <w:rsid w:val="000B5872"/>
    <w:rsid w:val="000B5BA0"/>
    <w:rsid w:val="000B5FFC"/>
    <w:rsid w:val="000B6593"/>
    <w:rsid w:val="000B6CBB"/>
    <w:rsid w:val="000B7A7A"/>
    <w:rsid w:val="000B7F26"/>
    <w:rsid w:val="000C00EB"/>
    <w:rsid w:val="000C1795"/>
    <w:rsid w:val="000C25C4"/>
    <w:rsid w:val="000C2ED0"/>
    <w:rsid w:val="000C3571"/>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19DC"/>
    <w:rsid w:val="000F243C"/>
    <w:rsid w:val="000F248F"/>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5054"/>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27E"/>
    <w:rsid w:val="001814C6"/>
    <w:rsid w:val="00181773"/>
    <w:rsid w:val="00181851"/>
    <w:rsid w:val="00181A28"/>
    <w:rsid w:val="00181FC7"/>
    <w:rsid w:val="00182455"/>
    <w:rsid w:val="00182732"/>
    <w:rsid w:val="00182826"/>
    <w:rsid w:val="00182DA9"/>
    <w:rsid w:val="0018383B"/>
    <w:rsid w:val="001838A7"/>
    <w:rsid w:val="00183AC2"/>
    <w:rsid w:val="00183D59"/>
    <w:rsid w:val="00184DEF"/>
    <w:rsid w:val="00185A53"/>
    <w:rsid w:val="0018722F"/>
    <w:rsid w:val="001877D9"/>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AD4"/>
    <w:rsid w:val="001A2C8C"/>
    <w:rsid w:val="001A2D08"/>
    <w:rsid w:val="001A3359"/>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9FA"/>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0A06"/>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313"/>
    <w:rsid w:val="0022160D"/>
    <w:rsid w:val="00221FBC"/>
    <w:rsid w:val="00222162"/>
    <w:rsid w:val="00222871"/>
    <w:rsid w:val="002233B3"/>
    <w:rsid w:val="00223B71"/>
    <w:rsid w:val="00223C0E"/>
    <w:rsid w:val="002248A6"/>
    <w:rsid w:val="00225157"/>
    <w:rsid w:val="00225ABD"/>
    <w:rsid w:val="002260F6"/>
    <w:rsid w:val="002263D7"/>
    <w:rsid w:val="0022660A"/>
    <w:rsid w:val="002269B7"/>
    <w:rsid w:val="00227783"/>
    <w:rsid w:val="00227B1B"/>
    <w:rsid w:val="00230694"/>
    <w:rsid w:val="002307FB"/>
    <w:rsid w:val="00230A99"/>
    <w:rsid w:val="00231538"/>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4E9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39BF"/>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09EB"/>
    <w:rsid w:val="002D21B9"/>
    <w:rsid w:val="002D283B"/>
    <w:rsid w:val="002D2FB7"/>
    <w:rsid w:val="002D3230"/>
    <w:rsid w:val="002D35F0"/>
    <w:rsid w:val="002D40A9"/>
    <w:rsid w:val="002D41B4"/>
    <w:rsid w:val="002D45A3"/>
    <w:rsid w:val="002D4AE0"/>
    <w:rsid w:val="002D5B41"/>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511"/>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5957"/>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729"/>
    <w:rsid w:val="00370FA4"/>
    <w:rsid w:val="0037111E"/>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1FCB"/>
    <w:rsid w:val="003922C8"/>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7254"/>
    <w:rsid w:val="00397626"/>
    <w:rsid w:val="00397B61"/>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4CBF"/>
    <w:rsid w:val="003C51BD"/>
    <w:rsid w:val="003C5301"/>
    <w:rsid w:val="003C5498"/>
    <w:rsid w:val="003C6C99"/>
    <w:rsid w:val="003C6E2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661"/>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17CD8"/>
    <w:rsid w:val="0042100A"/>
    <w:rsid w:val="0042142D"/>
    <w:rsid w:val="004214CA"/>
    <w:rsid w:val="00422161"/>
    <w:rsid w:val="00422391"/>
    <w:rsid w:val="00422519"/>
    <w:rsid w:val="004227AB"/>
    <w:rsid w:val="00422819"/>
    <w:rsid w:val="00422B9E"/>
    <w:rsid w:val="0042361A"/>
    <w:rsid w:val="004243FA"/>
    <w:rsid w:val="00424962"/>
    <w:rsid w:val="0042509A"/>
    <w:rsid w:val="004253E4"/>
    <w:rsid w:val="00425E75"/>
    <w:rsid w:val="00426279"/>
    <w:rsid w:val="00427060"/>
    <w:rsid w:val="0042711A"/>
    <w:rsid w:val="00427568"/>
    <w:rsid w:val="0042758D"/>
    <w:rsid w:val="00427EB7"/>
    <w:rsid w:val="004300DC"/>
    <w:rsid w:val="004305E5"/>
    <w:rsid w:val="00431045"/>
    <w:rsid w:val="0043132F"/>
    <w:rsid w:val="00431E01"/>
    <w:rsid w:val="0043271E"/>
    <w:rsid w:val="00433343"/>
    <w:rsid w:val="00433534"/>
    <w:rsid w:val="00433816"/>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0906"/>
    <w:rsid w:val="00461418"/>
    <w:rsid w:val="004617BF"/>
    <w:rsid w:val="00461EF4"/>
    <w:rsid w:val="00462C17"/>
    <w:rsid w:val="00463891"/>
    <w:rsid w:val="00464111"/>
    <w:rsid w:val="00464363"/>
    <w:rsid w:val="00464478"/>
    <w:rsid w:val="004649E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0F26"/>
    <w:rsid w:val="00472213"/>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3A39"/>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28E"/>
    <w:rsid w:val="004C35FD"/>
    <w:rsid w:val="004C3811"/>
    <w:rsid w:val="004C41A4"/>
    <w:rsid w:val="004C44ED"/>
    <w:rsid w:val="004C4C97"/>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0C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2B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1D2"/>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28B2"/>
    <w:rsid w:val="005439F6"/>
    <w:rsid w:val="00543B0E"/>
    <w:rsid w:val="0054402B"/>
    <w:rsid w:val="00544123"/>
    <w:rsid w:val="00544297"/>
    <w:rsid w:val="0054463D"/>
    <w:rsid w:val="00545160"/>
    <w:rsid w:val="00545611"/>
    <w:rsid w:val="00545D36"/>
    <w:rsid w:val="00546752"/>
    <w:rsid w:val="0054739C"/>
    <w:rsid w:val="00547686"/>
    <w:rsid w:val="00547BB3"/>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41D1"/>
    <w:rsid w:val="005A449A"/>
    <w:rsid w:val="005A54AA"/>
    <w:rsid w:val="005A6AD3"/>
    <w:rsid w:val="005A7271"/>
    <w:rsid w:val="005A7BF8"/>
    <w:rsid w:val="005B03B2"/>
    <w:rsid w:val="005B09E2"/>
    <w:rsid w:val="005B09F9"/>
    <w:rsid w:val="005B0AB9"/>
    <w:rsid w:val="005B14FB"/>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479"/>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5FEF"/>
    <w:rsid w:val="006470D9"/>
    <w:rsid w:val="0064748E"/>
    <w:rsid w:val="00647C98"/>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1C"/>
    <w:rsid w:val="00694D21"/>
    <w:rsid w:val="00695D9F"/>
    <w:rsid w:val="00696101"/>
    <w:rsid w:val="006962B4"/>
    <w:rsid w:val="00696647"/>
    <w:rsid w:val="00696C1C"/>
    <w:rsid w:val="0069758B"/>
    <w:rsid w:val="006977AA"/>
    <w:rsid w:val="006977B7"/>
    <w:rsid w:val="00697AFC"/>
    <w:rsid w:val="006A0B66"/>
    <w:rsid w:val="006A0F05"/>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5C1F"/>
    <w:rsid w:val="006C629B"/>
    <w:rsid w:val="006C62B2"/>
    <w:rsid w:val="006C6790"/>
    <w:rsid w:val="006C6CBA"/>
    <w:rsid w:val="006C6FE0"/>
    <w:rsid w:val="006C7CFD"/>
    <w:rsid w:val="006D0C0A"/>
    <w:rsid w:val="006D0F56"/>
    <w:rsid w:val="006D269A"/>
    <w:rsid w:val="006D26B8"/>
    <w:rsid w:val="006D2707"/>
    <w:rsid w:val="006D2B5D"/>
    <w:rsid w:val="006D3194"/>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42DA"/>
    <w:rsid w:val="007151A4"/>
    <w:rsid w:val="007154A9"/>
    <w:rsid w:val="007155DC"/>
    <w:rsid w:val="00715EE8"/>
    <w:rsid w:val="00716263"/>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2DDC"/>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25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8D"/>
    <w:rsid w:val="007739EF"/>
    <w:rsid w:val="00773E20"/>
    <w:rsid w:val="00774156"/>
    <w:rsid w:val="00774C20"/>
    <w:rsid w:val="00774C98"/>
    <w:rsid w:val="00775DD5"/>
    <w:rsid w:val="0077781A"/>
    <w:rsid w:val="00777F84"/>
    <w:rsid w:val="00780E4B"/>
    <w:rsid w:val="00781448"/>
    <w:rsid w:val="0078165B"/>
    <w:rsid w:val="0078200C"/>
    <w:rsid w:val="007838CD"/>
    <w:rsid w:val="00783A6E"/>
    <w:rsid w:val="007850FF"/>
    <w:rsid w:val="00786C6E"/>
    <w:rsid w:val="007870CD"/>
    <w:rsid w:val="00787508"/>
    <w:rsid w:val="00787B72"/>
    <w:rsid w:val="00787D98"/>
    <w:rsid w:val="007903A1"/>
    <w:rsid w:val="00790C4D"/>
    <w:rsid w:val="00791465"/>
    <w:rsid w:val="00791D14"/>
    <w:rsid w:val="00792257"/>
    <w:rsid w:val="00792A92"/>
    <w:rsid w:val="007938DD"/>
    <w:rsid w:val="00793E2D"/>
    <w:rsid w:val="00794521"/>
    <w:rsid w:val="00794AB9"/>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66EE"/>
    <w:rsid w:val="007E671D"/>
    <w:rsid w:val="007E6C72"/>
    <w:rsid w:val="007E6C9E"/>
    <w:rsid w:val="007E6E40"/>
    <w:rsid w:val="007E72DB"/>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3B9"/>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4B50"/>
    <w:rsid w:val="008659EB"/>
    <w:rsid w:val="00865A92"/>
    <w:rsid w:val="00865CA5"/>
    <w:rsid w:val="0086661A"/>
    <w:rsid w:val="008667E5"/>
    <w:rsid w:val="00867B5E"/>
    <w:rsid w:val="00867E79"/>
    <w:rsid w:val="008706F3"/>
    <w:rsid w:val="00870A07"/>
    <w:rsid w:val="00870A6A"/>
    <w:rsid w:val="00870B81"/>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5DE3"/>
    <w:rsid w:val="008B767D"/>
    <w:rsid w:val="008B7F1D"/>
    <w:rsid w:val="008C0402"/>
    <w:rsid w:val="008C0D3F"/>
    <w:rsid w:val="008C1581"/>
    <w:rsid w:val="008C15C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67E"/>
    <w:rsid w:val="00932FF8"/>
    <w:rsid w:val="00933094"/>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5D9"/>
    <w:rsid w:val="0097180E"/>
    <w:rsid w:val="00971CB0"/>
    <w:rsid w:val="00971F11"/>
    <w:rsid w:val="009720B5"/>
    <w:rsid w:val="009724A9"/>
    <w:rsid w:val="009725F3"/>
    <w:rsid w:val="00973100"/>
    <w:rsid w:val="0097326B"/>
    <w:rsid w:val="00973327"/>
    <w:rsid w:val="00973963"/>
    <w:rsid w:val="00973C2A"/>
    <w:rsid w:val="009746F0"/>
    <w:rsid w:val="00974C8F"/>
    <w:rsid w:val="009751CF"/>
    <w:rsid w:val="00975430"/>
    <w:rsid w:val="00975B3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1C8"/>
    <w:rsid w:val="00996281"/>
    <w:rsid w:val="00996885"/>
    <w:rsid w:val="00996F78"/>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156"/>
    <w:rsid w:val="00A31844"/>
    <w:rsid w:val="00A31BE6"/>
    <w:rsid w:val="00A31EC6"/>
    <w:rsid w:val="00A32118"/>
    <w:rsid w:val="00A34108"/>
    <w:rsid w:val="00A34515"/>
    <w:rsid w:val="00A3499D"/>
    <w:rsid w:val="00A35148"/>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4CD"/>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A"/>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32C5"/>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E80"/>
    <w:rsid w:val="00AE3F8B"/>
    <w:rsid w:val="00AE4D69"/>
    <w:rsid w:val="00AE5262"/>
    <w:rsid w:val="00AE6305"/>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CBD"/>
    <w:rsid w:val="00B015A7"/>
    <w:rsid w:val="00B01D16"/>
    <w:rsid w:val="00B01FCD"/>
    <w:rsid w:val="00B02263"/>
    <w:rsid w:val="00B02373"/>
    <w:rsid w:val="00B0259B"/>
    <w:rsid w:val="00B025EA"/>
    <w:rsid w:val="00B02A11"/>
    <w:rsid w:val="00B04EC3"/>
    <w:rsid w:val="00B05419"/>
    <w:rsid w:val="00B0582F"/>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6808"/>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B9C"/>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960"/>
    <w:rsid w:val="00B77D09"/>
    <w:rsid w:val="00B80C4C"/>
    <w:rsid w:val="00B811EF"/>
    <w:rsid w:val="00B81B5B"/>
    <w:rsid w:val="00B81DF8"/>
    <w:rsid w:val="00B822FF"/>
    <w:rsid w:val="00B823F4"/>
    <w:rsid w:val="00B82A1A"/>
    <w:rsid w:val="00B82EAA"/>
    <w:rsid w:val="00B831F3"/>
    <w:rsid w:val="00B8332D"/>
    <w:rsid w:val="00B83C31"/>
    <w:rsid w:val="00B8456E"/>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226"/>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ECE"/>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4848"/>
    <w:rsid w:val="00CB5B75"/>
    <w:rsid w:val="00CB5E59"/>
    <w:rsid w:val="00CB5F84"/>
    <w:rsid w:val="00CB66C9"/>
    <w:rsid w:val="00CB749D"/>
    <w:rsid w:val="00CB7F3D"/>
    <w:rsid w:val="00CC0DC9"/>
    <w:rsid w:val="00CC106D"/>
    <w:rsid w:val="00CC1519"/>
    <w:rsid w:val="00CC31A3"/>
    <w:rsid w:val="00CC3881"/>
    <w:rsid w:val="00CC3D4C"/>
    <w:rsid w:val="00CC40A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0FC"/>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61D"/>
    <w:rsid w:val="00D636AD"/>
    <w:rsid w:val="00D63828"/>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4064"/>
    <w:rsid w:val="00D945E4"/>
    <w:rsid w:val="00D9512C"/>
    <w:rsid w:val="00D957F0"/>
    <w:rsid w:val="00D966ED"/>
    <w:rsid w:val="00D974B0"/>
    <w:rsid w:val="00D9752D"/>
    <w:rsid w:val="00DA0EE7"/>
    <w:rsid w:val="00DA1A95"/>
    <w:rsid w:val="00DA3279"/>
    <w:rsid w:val="00DA3A43"/>
    <w:rsid w:val="00DA3EBC"/>
    <w:rsid w:val="00DA3FD3"/>
    <w:rsid w:val="00DA560A"/>
    <w:rsid w:val="00DA57A3"/>
    <w:rsid w:val="00DA619A"/>
    <w:rsid w:val="00DA640F"/>
    <w:rsid w:val="00DA683B"/>
    <w:rsid w:val="00DA7790"/>
    <w:rsid w:val="00DB03FD"/>
    <w:rsid w:val="00DB0E25"/>
    <w:rsid w:val="00DB1029"/>
    <w:rsid w:val="00DB17B1"/>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B7CEF"/>
    <w:rsid w:val="00DC0417"/>
    <w:rsid w:val="00DC067C"/>
    <w:rsid w:val="00DC0AF5"/>
    <w:rsid w:val="00DC143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38F"/>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E65"/>
    <w:rsid w:val="00DF5346"/>
    <w:rsid w:val="00DF5CB2"/>
    <w:rsid w:val="00DF6AEA"/>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5E88"/>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6FB5"/>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AA2"/>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250"/>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B08"/>
    <w:rsid w:val="00F45D85"/>
    <w:rsid w:val="00F46ADF"/>
    <w:rsid w:val="00F46BAF"/>
    <w:rsid w:val="00F46F49"/>
    <w:rsid w:val="00F4737E"/>
    <w:rsid w:val="00F4798E"/>
    <w:rsid w:val="00F50094"/>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630F"/>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0C1"/>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3CD"/>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1AD5"/>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BA2"/>
    <w:rsid w:val="00FF6D04"/>
    <w:rsid w:val="00FF7035"/>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1134C"/>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0D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3251410">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4094047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61986811">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75164572">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7130653">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nicef.org/media/55276/file/Progress%20on%20drinking%20water,%20sanitation%20and%20hygiene%202019%20.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482</Words>
  <Characters>2651</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8</cp:revision>
  <cp:lastPrinted>2022-04-23T07:11:00Z</cp:lastPrinted>
  <dcterms:created xsi:type="dcterms:W3CDTF">2022-04-23T07:11:00Z</dcterms:created>
  <dcterms:modified xsi:type="dcterms:W3CDTF">2022-04-23T07:58:00Z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